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504F4">
      <w:pPr>
        <w:tabs>
          <w:tab w:val="left" w:pos="3106"/>
          <w:tab w:val="center" w:pos="4536"/>
          <w:tab w:val="right" w:pos="9072"/>
        </w:tabs>
        <w:jc w:val="both"/>
        <w:rPr>
          <w:rFonts w:hint="default" w:ascii="Arial" w:hAnsi="Arial" w:eastAsia="等线" w:cs="Arial"/>
          <w:b/>
          <w:bCs/>
          <w:highlight w:val="yellow"/>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w:t>
      </w:r>
      <w:bookmarkStart w:id="1" w:name="_Hlk41145946"/>
      <w:r>
        <w:rPr>
          <w:rFonts w:hint="eastAsia" w:ascii="Arial" w:hAnsi="Arial" w:eastAsia="等线" w:cs="Arial"/>
          <w:b/>
          <w:lang w:val="en-US" w:eastAsia="zh-CN"/>
        </w:rPr>
        <w:t>15</w:t>
      </w:r>
      <w:r>
        <w:rPr>
          <w:rFonts w:ascii="Arial" w:hAnsi="Arial" w:eastAsia="等线" w:cs="Arial"/>
          <w:b/>
        </w:rPr>
        <w:tab/>
      </w:r>
      <w:r>
        <w:rPr>
          <w:rFonts w:ascii="Arial" w:hAnsi="Arial" w:eastAsia="等线" w:cs="Arial"/>
          <w:b/>
          <w:bCs/>
        </w:rPr>
        <w:tab/>
      </w:r>
      <w:r>
        <w:rPr>
          <w:rFonts w:ascii="Arial" w:hAnsi="Arial" w:eastAsia="等线" w:cs="Arial"/>
          <w:b/>
          <w:bCs/>
        </w:rPr>
        <w:t>R4</w:t>
      </w:r>
      <w:r>
        <w:rPr>
          <w:rFonts w:ascii="Arial" w:hAnsi="Arial" w:eastAsia="等线" w:cs="Arial"/>
          <w:b/>
          <w:bCs/>
          <w:highlight w:val="none"/>
        </w:rPr>
        <w:t>-2</w:t>
      </w:r>
      <w:bookmarkEnd w:id="1"/>
      <w:r>
        <w:rPr>
          <w:rFonts w:hint="eastAsia" w:ascii="Arial" w:hAnsi="Arial" w:eastAsia="等线" w:cs="Arial"/>
          <w:b/>
          <w:bCs/>
          <w:highlight w:val="none"/>
          <w:lang w:val="en-US" w:eastAsia="zh-CN"/>
        </w:rPr>
        <w:t>506434</w:t>
      </w:r>
      <w:bookmarkStart w:id="11" w:name="_GoBack"/>
      <w:bookmarkEnd w:id="11"/>
    </w:p>
    <w:p w14:paraId="170F4F4F">
      <w:pPr>
        <w:tabs>
          <w:tab w:val="left" w:pos="3106"/>
          <w:tab w:val="center" w:pos="4536"/>
          <w:tab w:val="right" w:pos="9072"/>
        </w:tabs>
        <w:jc w:val="both"/>
        <w:rPr>
          <w:rFonts w:ascii="Arial" w:hAnsi="Arial" w:cs="Arial"/>
          <w:b/>
          <w:bCs/>
        </w:rPr>
      </w:pPr>
      <w:r>
        <w:rPr>
          <w:rFonts w:hint="eastAsia" w:ascii="Arial" w:hAnsi="Arial" w:eastAsia="宋体" w:cs="Arial"/>
          <w:b/>
          <w:sz w:val="24"/>
          <w:szCs w:val="24"/>
          <w:lang w:eastAsia="zh-CN"/>
        </w:rPr>
        <w:t>Malta, MT</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1</w:t>
      </w:r>
      <w:r>
        <w:rPr>
          <w:rFonts w:hint="eastAsia" w:ascii="Arial" w:hAnsi="Arial" w:eastAsia="宋体" w:cs="Arial"/>
          <w:b/>
          <w:sz w:val="24"/>
          <w:szCs w:val="24"/>
          <w:lang w:val="en-US" w:eastAsia="zh-CN"/>
        </w:rPr>
        <w:t>9</w:t>
      </w:r>
      <w:r>
        <w:rPr>
          <w:rFonts w:hint="eastAsia" w:ascii="Arial" w:hAnsi="Arial" w:eastAsia="宋体" w:cs="Arial"/>
          <w:b/>
          <w:sz w:val="24"/>
          <w:szCs w:val="24"/>
          <w:vertAlign w:val="superscript"/>
          <w:lang w:eastAsia="zh-CN"/>
        </w:rPr>
        <w:t>th</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2</w:t>
      </w:r>
      <w:r>
        <w:rPr>
          <w:rFonts w:hint="eastAsia" w:ascii="Arial" w:hAnsi="Arial" w:eastAsia="宋体" w:cs="Arial"/>
          <w:b/>
          <w:sz w:val="24"/>
          <w:szCs w:val="24"/>
          <w:lang w:val="en-US" w:eastAsia="zh-CN"/>
        </w:rPr>
        <w:t>3</w:t>
      </w:r>
      <w:r>
        <w:rPr>
          <w:rFonts w:hint="eastAsia" w:ascii="Arial" w:hAnsi="Arial" w:eastAsia="宋体" w:cs="Arial"/>
          <w:b/>
          <w:sz w:val="24"/>
          <w:szCs w:val="24"/>
          <w:vertAlign w:val="superscript"/>
          <w:lang w:val="en-US" w:eastAsia="zh-CN"/>
        </w:rPr>
        <w:t>rd</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May</w:t>
      </w:r>
      <w:r>
        <w:rPr>
          <w:rFonts w:hint="eastAsia" w:ascii="Arial" w:hAnsi="Arial" w:eastAsia="宋体" w:cs="Arial"/>
          <w:b/>
          <w:sz w:val="24"/>
          <w:szCs w:val="24"/>
          <w:lang w:eastAsia="zh-CN"/>
        </w:rPr>
        <w:t>, 2025</w:t>
      </w:r>
    </w:p>
    <w:bookmarkEnd w:id="0"/>
    <w:p w14:paraId="6DCE2007">
      <w:pPr>
        <w:tabs>
          <w:tab w:val="left" w:pos="1985"/>
        </w:tabs>
        <w:rPr>
          <w:b/>
          <w:sz w:val="22"/>
        </w:rPr>
      </w:pPr>
    </w:p>
    <w:p w14:paraId="23AD3A47">
      <w:pPr>
        <w:tabs>
          <w:tab w:val="left" w:pos="1765"/>
          <w:tab w:val="center" w:pos="4557"/>
        </w:tabs>
        <w:rPr>
          <w:rFonts w:hint="eastAsia" w:eastAsiaTheme="minorEastAsia"/>
          <w:b/>
          <w:sz w:val="22"/>
          <w:lang w:eastAsia="zh-CN"/>
        </w:rPr>
      </w:pPr>
      <w:r>
        <w:rPr>
          <w:b/>
          <w:sz w:val="22"/>
        </w:rPr>
        <w:t>Agenda</w:t>
      </w:r>
      <w:r>
        <w:rPr>
          <w:b/>
          <w:sz w:val="22"/>
          <w:highlight w:val="none"/>
        </w:rPr>
        <w:t xml:space="preserve"> Item:</w:t>
      </w:r>
      <w:r>
        <w:rPr>
          <w:b/>
          <w:sz w:val="22"/>
          <w:highlight w:val="none"/>
        </w:rPr>
        <w:tab/>
      </w:r>
      <w:r>
        <w:rPr>
          <w:rFonts w:hint="eastAsia"/>
          <w:sz w:val="22"/>
          <w:highlight w:val="none"/>
          <w:lang w:val="en-US" w:eastAsia="zh-CN"/>
        </w:rPr>
        <w:t>7</w:t>
      </w:r>
      <w:r>
        <w:rPr>
          <w:sz w:val="22"/>
          <w:highlight w:val="none"/>
        </w:rPr>
        <w:t>.</w:t>
      </w:r>
      <w:r>
        <w:rPr>
          <w:rFonts w:hint="eastAsia"/>
          <w:sz w:val="22"/>
          <w:highlight w:val="none"/>
          <w:lang w:val="en-US" w:eastAsia="zh-CN"/>
        </w:rPr>
        <w:t>31</w:t>
      </w:r>
      <w:r>
        <w:rPr>
          <w:sz w:val="22"/>
          <w:highlight w:val="none"/>
        </w:rPr>
        <w:t>.</w:t>
      </w:r>
      <w:r>
        <w:rPr>
          <w:rFonts w:hint="eastAsia"/>
          <w:sz w:val="22"/>
          <w:highlight w:val="none"/>
          <w:lang w:val="en-US" w:eastAsia="zh-CN"/>
        </w:rPr>
        <w:t>6</w:t>
      </w:r>
    </w:p>
    <w:p w14:paraId="428801E0">
      <w:pPr>
        <w:tabs>
          <w:tab w:val="left" w:pos="1765"/>
        </w:tabs>
        <w:rPr>
          <w:sz w:val="22"/>
        </w:rPr>
      </w:pPr>
      <w:r>
        <w:rPr>
          <w:b/>
          <w:sz w:val="22"/>
        </w:rPr>
        <w:t xml:space="preserve">Source: </w:t>
      </w:r>
      <w:r>
        <w:rPr>
          <w:b/>
          <w:sz w:val="22"/>
        </w:rPr>
        <w:tab/>
      </w:r>
      <w:bookmarkStart w:id="2" w:name="_Hlk41145958"/>
      <w:r>
        <w:rPr>
          <w:sz w:val="22"/>
        </w:rPr>
        <w:t>CMCC</w:t>
      </w:r>
      <w:bookmarkEnd w:id="2"/>
    </w:p>
    <w:p w14:paraId="18BB0B49">
      <w:pPr>
        <w:rPr>
          <w:sz w:val="22"/>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Discussion on</w:t>
      </w:r>
      <w:r>
        <w:rPr>
          <w:rFonts w:hint="eastAsia"/>
          <w:sz w:val="22"/>
          <w:lang w:val="en-US" w:eastAsia="zh-CN"/>
        </w:rPr>
        <w:t xml:space="preserve"> </w:t>
      </w:r>
      <w:bookmarkEnd w:id="3"/>
      <w:r>
        <w:rPr>
          <w:rFonts w:hint="eastAsia"/>
          <w:sz w:val="22"/>
        </w:rPr>
        <w:t xml:space="preserve">measurement accuracy and test cases for RedCap </w:t>
      </w:r>
      <w:r>
        <w:rPr>
          <w:rFonts w:hint="eastAsia"/>
          <w:sz w:val="22"/>
          <w:lang w:val="en-US" w:eastAsia="zh-CN"/>
        </w:rPr>
        <w:t xml:space="preserve">UE </w:t>
      </w:r>
      <w:r>
        <w:rPr>
          <w:rFonts w:hint="eastAsia"/>
          <w:sz w:val="22"/>
        </w:rPr>
        <w:t>over NTN</w:t>
      </w:r>
    </w:p>
    <w:bookmarkEnd w:id="4"/>
    <w:bookmarkEnd w:id="5"/>
    <w:p w14:paraId="7E41834D">
      <w:pPr>
        <w:tabs>
          <w:tab w:val="left" w:pos="1765"/>
        </w:tabs>
        <w:rPr>
          <w:sz w:val="22"/>
        </w:rPr>
      </w:pPr>
      <w:r>
        <w:rPr>
          <w:b/>
          <w:sz w:val="22"/>
        </w:rPr>
        <w:t>Document for:</w:t>
      </w:r>
      <w:r>
        <w:rPr>
          <w:b/>
          <w:sz w:val="22"/>
        </w:rPr>
        <w:tab/>
      </w:r>
      <w:r>
        <w:rPr>
          <w:sz w:val="22"/>
        </w:rPr>
        <w:t>Discussion</w:t>
      </w:r>
    </w:p>
    <w:p w14:paraId="1B3128F6">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0B4C47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rPr>
      </w:pPr>
      <w:r>
        <w:rPr>
          <w:rFonts w:hint="eastAsia"/>
          <w:sz w:val="20"/>
          <w:szCs w:val="20"/>
          <w:lang w:val="en-US" w:eastAsia="zh-CN"/>
        </w:rPr>
        <w:t>Rel-19 NTN phase3</w:t>
      </w:r>
      <w:r>
        <w:rPr>
          <w:rFonts w:hint="eastAsia"/>
          <w:sz w:val="20"/>
          <w:szCs w:val="20"/>
        </w:rPr>
        <w:t xml:space="preserve"> core requirements were discussed during RAN4#1</w:t>
      </w:r>
      <w:r>
        <w:rPr>
          <w:rFonts w:hint="eastAsia"/>
          <w:sz w:val="20"/>
          <w:szCs w:val="20"/>
          <w:lang w:val="en-US" w:eastAsia="zh-CN"/>
        </w:rPr>
        <w:t>12</w:t>
      </w:r>
      <w:r>
        <w:rPr>
          <w:rFonts w:hint="eastAsia"/>
          <w:sz w:val="20"/>
          <w:szCs w:val="20"/>
        </w:rPr>
        <w:t xml:space="preserve"> to RAN4#1</w:t>
      </w:r>
      <w:r>
        <w:rPr>
          <w:rFonts w:hint="eastAsia"/>
          <w:sz w:val="20"/>
          <w:szCs w:val="20"/>
          <w:lang w:val="en-US" w:eastAsia="zh-CN"/>
        </w:rPr>
        <w:t>14bis</w:t>
      </w:r>
      <w:r>
        <w:rPr>
          <w:rFonts w:hint="eastAsia"/>
          <w:sz w:val="20"/>
          <w:szCs w:val="20"/>
        </w:rPr>
        <w:t>. According to the TU allocation</w:t>
      </w:r>
      <w:r>
        <w:rPr>
          <w:rFonts w:hint="eastAsia"/>
          <w:sz w:val="20"/>
          <w:szCs w:val="20"/>
          <w:lang w:val="en-US" w:eastAsia="zh-CN"/>
        </w:rPr>
        <w:t xml:space="preserve"> and work plan</w:t>
      </w:r>
      <w:r>
        <w:rPr>
          <w:rFonts w:hint="eastAsia"/>
          <w:sz w:val="20"/>
          <w:szCs w:val="20"/>
        </w:rPr>
        <w:t xml:space="preserve">, RAN4 is supposed to start the performance part for the WI. In this contribution, we will provide our views on the measurement accuracy and test cases for RedCap </w:t>
      </w:r>
      <w:r>
        <w:rPr>
          <w:rFonts w:hint="eastAsia"/>
          <w:sz w:val="20"/>
          <w:szCs w:val="20"/>
          <w:lang w:val="en-US" w:eastAsia="zh-CN"/>
        </w:rPr>
        <w:t xml:space="preserve">UE </w:t>
      </w:r>
      <w:r>
        <w:rPr>
          <w:rFonts w:hint="eastAsia"/>
          <w:sz w:val="20"/>
          <w:szCs w:val="20"/>
        </w:rPr>
        <w:t xml:space="preserve">over NTN. </w:t>
      </w:r>
    </w:p>
    <w:p w14:paraId="5063DA22">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hint="eastAsia" w:ascii="Times New Roman" w:hAnsi="Times New Roman"/>
          <w:b w:val="0"/>
          <w:bCs w:val="0"/>
          <w:kern w:val="0"/>
          <w:sz w:val="36"/>
          <w:szCs w:val="36"/>
        </w:rPr>
        <w:t>Discussion</w:t>
      </w:r>
    </w:p>
    <w:p w14:paraId="513E2F6B">
      <w:pPr>
        <w:pStyle w:val="2"/>
        <w:numPr>
          <w:ilvl w:val="1"/>
          <w:numId w:val="2"/>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28"/>
          <w:szCs w:val="28"/>
          <w:lang w:val="en-GB"/>
        </w:rPr>
      </w:pPr>
      <w:bookmarkStart w:id="9" w:name="_Hlk133265252"/>
      <w:r>
        <w:rPr>
          <w:rFonts w:hint="eastAsia" w:ascii="Times New Roman" w:hAnsi="Times New Roman"/>
          <w:b w:val="0"/>
          <w:bCs w:val="0"/>
          <w:kern w:val="0"/>
          <w:sz w:val="28"/>
          <w:szCs w:val="28"/>
          <w:lang w:val="en-US" w:eastAsia="zh-CN"/>
        </w:rPr>
        <w:t xml:space="preserve"> Measurement accuracy</w:t>
      </w:r>
    </w:p>
    <w:p w14:paraId="271B6A03">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For 2Rx RedCap UE, the measurement accuracy requirements of NTN can be reused.</w:t>
      </w:r>
    </w:p>
    <w:p w14:paraId="1BC4BDA7">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For 1Rx RedCap UE, new measurement accuracy requirements on NTN operating bands shall be defined, and the RSRP accuracy and side conditions from measurement accuracy requirements of legacy 1Rx RedCap UE can be reused.</w:t>
      </w:r>
    </w:p>
    <w:p w14:paraId="3CB6E7A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1</w:t>
      </w:r>
      <w:r>
        <w:rPr>
          <w:rFonts w:hint="eastAsia"/>
          <w:b/>
          <w:i/>
          <w:iCs/>
          <w:sz w:val="20"/>
          <w:szCs w:val="20"/>
        </w:rPr>
        <w:t xml:space="preserve">: </w:t>
      </w:r>
      <w:r>
        <w:rPr>
          <w:rFonts w:hint="eastAsia"/>
          <w:b/>
          <w:i/>
          <w:iCs/>
          <w:sz w:val="20"/>
          <w:szCs w:val="20"/>
          <w:lang w:val="en-US" w:eastAsia="zh-CN"/>
        </w:rPr>
        <w:t>For 2Rx RedCap UE, reuse the measurement accuracy requirement of NTN.</w:t>
      </w:r>
    </w:p>
    <w:p w14:paraId="70EDB2AD">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i/>
          <w:iCs/>
          <w:sz w:val="20"/>
          <w:szCs w:val="20"/>
          <w:lang w:val="en-US" w:eastAsia="zh-CN"/>
        </w:rPr>
      </w:pPr>
      <w:r>
        <w:rPr>
          <w:rFonts w:hint="eastAsia"/>
          <w:b/>
          <w:i/>
          <w:iCs/>
          <w:sz w:val="20"/>
          <w:szCs w:val="20"/>
          <w:lang w:val="en-US" w:eastAsia="zh-CN"/>
        </w:rPr>
        <w:t>Proposal 2: For 1Rx RedCap UE, define new measurement accuracy requirement on NTN operating bands with reusing the RSRP accuracy and side conditions from legacy 1Rx RedCap UE.</w:t>
      </w:r>
    </w:p>
    <w:p w14:paraId="5984E55D">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p>
    <w:p w14:paraId="7F650ABD">
      <w:pPr>
        <w:pStyle w:val="2"/>
        <w:numPr>
          <w:ilvl w:val="1"/>
          <w:numId w:val="2"/>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28"/>
          <w:szCs w:val="28"/>
          <w:lang w:val="en-GB"/>
        </w:rPr>
      </w:pPr>
      <w:r>
        <w:rPr>
          <w:rFonts w:hint="eastAsia" w:ascii="Times New Roman" w:hAnsi="Times New Roman"/>
          <w:b w:val="0"/>
          <w:bCs w:val="0"/>
          <w:kern w:val="0"/>
          <w:sz w:val="28"/>
          <w:szCs w:val="28"/>
          <w:lang w:val="en-US" w:eastAsia="zh-CN"/>
        </w:rPr>
        <w:t xml:space="preserve"> T</w:t>
      </w:r>
      <w:r>
        <w:rPr>
          <w:rFonts w:hint="eastAsia" w:ascii="Times New Roman" w:hAnsi="Times New Roman"/>
          <w:b w:val="0"/>
          <w:bCs w:val="0"/>
          <w:kern w:val="0"/>
          <w:sz w:val="28"/>
          <w:szCs w:val="28"/>
        </w:rPr>
        <w:t>est cases</w:t>
      </w:r>
      <w:r>
        <w:rPr>
          <w:rFonts w:hint="eastAsia" w:ascii="Times New Roman" w:hAnsi="Times New Roman"/>
          <w:b w:val="0"/>
          <w:bCs w:val="0"/>
          <w:kern w:val="0"/>
          <w:sz w:val="28"/>
          <w:szCs w:val="28"/>
          <w:lang w:val="en-US" w:eastAsia="zh-CN"/>
        </w:rPr>
        <w:t xml:space="preserve"> for RedCap over NTN</w:t>
      </w:r>
    </w:p>
    <w:p w14:paraId="69BFDCAE">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Since new requirements have been defined for RedCap UE in NTN network, the corresponding test cases shall also be involved. Based on current progress of the core requirement, we identified that at least following test cases shall be defined for RedCap UE over NTN.</w:t>
      </w:r>
    </w:p>
    <w:p w14:paraId="7088C445">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I</w:t>
      </w:r>
      <w:r>
        <w:rPr>
          <w:sz w:val="20"/>
          <w:szCs w:val="20"/>
          <w:lang w:eastAsia="zh-CN"/>
        </w:rPr>
        <w:t>ntra-frequency</w:t>
      </w:r>
      <w:r>
        <w:rPr>
          <w:rFonts w:hint="eastAsia"/>
          <w:sz w:val="20"/>
          <w:szCs w:val="20"/>
          <w:lang w:val="en-US" w:eastAsia="zh-CN"/>
        </w:rPr>
        <w:t xml:space="preserve"> </w:t>
      </w:r>
      <w:r>
        <w:rPr>
          <w:sz w:val="20"/>
          <w:szCs w:val="20"/>
          <w:lang w:eastAsia="zh-CN"/>
        </w:rPr>
        <w:t xml:space="preserve">Cell </w:t>
      </w:r>
      <w:r>
        <w:rPr>
          <w:rFonts w:hint="eastAsia"/>
          <w:sz w:val="20"/>
          <w:szCs w:val="20"/>
          <w:lang w:val="en-US" w:eastAsia="zh-CN"/>
        </w:rPr>
        <w:t>R</w:t>
      </w:r>
      <w:r>
        <w:rPr>
          <w:sz w:val="20"/>
          <w:szCs w:val="20"/>
          <w:lang w:eastAsia="zh-CN"/>
        </w:rPr>
        <w:t>e</w:t>
      </w:r>
      <w:r>
        <w:rPr>
          <w:rFonts w:hint="eastAsia"/>
          <w:sz w:val="20"/>
          <w:szCs w:val="20"/>
          <w:lang w:val="en-US" w:eastAsia="zh-CN"/>
        </w:rPr>
        <w:t>-</w:t>
      </w:r>
      <w:r>
        <w:rPr>
          <w:sz w:val="20"/>
          <w:szCs w:val="20"/>
          <w:lang w:eastAsia="zh-CN"/>
        </w:rPr>
        <w:t xml:space="preserve">selection </w:t>
      </w:r>
      <w:r>
        <w:rPr>
          <w:rFonts w:hint="eastAsia"/>
          <w:sz w:val="20"/>
          <w:szCs w:val="20"/>
          <w:lang w:val="en-US" w:eastAsia="zh-CN"/>
        </w:rPr>
        <w:t>for both 1Rx and 2Rx RedCap UE</w:t>
      </w:r>
    </w:p>
    <w:p w14:paraId="5EC95B02">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Intra-frequency cell re-selection</w:t>
      </w:r>
    </w:p>
    <w:p w14:paraId="7EF0B02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Intra-frequency cell re-selection with enhanced measurement</w:t>
      </w:r>
    </w:p>
    <w:p w14:paraId="38E232A1">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Time-based intra-frequency cell re-selection</w:t>
      </w:r>
    </w:p>
    <w:p w14:paraId="484F6A74">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Location-based intra-frequency cell re-selection</w:t>
      </w:r>
    </w:p>
    <w:p w14:paraId="0EF11CF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Intra-frequency cell re-selection with UE fulfilling relax measurement criteria</w:t>
      </w:r>
    </w:p>
    <w:p w14:paraId="48A0A617">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I</w:t>
      </w:r>
      <w:r>
        <w:rPr>
          <w:sz w:val="20"/>
          <w:szCs w:val="20"/>
          <w:lang w:eastAsia="zh-CN"/>
        </w:rPr>
        <w:t>nt</w:t>
      </w:r>
      <w:r>
        <w:rPr>
          <w:rFonts w:hint="eastAsia"/>
          <w:sz w:val="20"/>
          <w:szCs w:val="20"/>
          <w:lang w:val="en-US" w:eastAsia="zh-CN"/>
        </w:rPr>
        <w:t>er</w:t>
      </w:r>
      <w:r>
        <w:rPr>
          <w:sz w:val="20"/>
          <w:szCs w:val="20"/>
          <w:lang w:eastAsia="zh-CN"/>
        </w:rPr>
        <w:t>-frequency</w:t>
      </w:r>
      <w:r>
        <w:rPr>
          <w:rFonts w:hint="eastAsia"/>
          <w:sz w:val="20"/>
          <w:szCs w:val="20"/>
          <w:lang w:val="en-US" w:eastAsia="zh-CN"/>
        </w:rPr>
        <w:t xml:space="preserve"> </w:t>
      </w:r>
      <w:r>
        <w:rPr>
          <w:sz w:val="20"/>
          <w:szCs w:val="20"/>
          <w:lang w:eastAsia="zh-CN"/>
        </w:rPr>
        <w:t xml:space="preserve">Cell </w:t>
      </w:r>
      <w:r>
        <w:rPr>
          <w:rFonts w:hint="eastAsia"/>
          <w:sz w:val="20"/>
          <w:szCs w:val="20"/>
          <w:lang w:val="en-US" w:eastAsia="zh-CN"/>
        </w:rPr>
        <w:t>R</w:t>
      </w:r>
      <w:r>
        <w:rPr>
          <w:sz w:val="20"/>
          <w:szCs w:val="20"/>
          <w:lang w:eastAsia="zh-CN"/>
        </w:rPr>
        <w:t>e</w:t>
      </w:r>
      <w:r>
        <w:rPr>
          <w:rFonts w:hint="eastAsia"/>
          <w:sz w:val="20"/>
          <w:szCs w:val="20"/>
          <w:lang w:val="en-US" w:eastAsia="zh-CN"/>
        </w:rPr>
        <w:t>-</w:t>
      </w:r>
      <w:r>
        <w:rPr>
          <w:sz w:val="20"/>
          <w:szCs w:val="20"/>
          <w:lang w:eastAsia="zh-CN"/>
        </w:rPr>
        <w:t xml:space="preserve">selection </w:t>
      </w:r>
      <w:r>
        <w:rPr>
          <w:rFonts w:hint="eastAsia"/>
          <w:sz w:val="20"/>
          <w:szCs w:val="20"/>
          <w:lang w:val="en-US" w:eastAsia="zh-CN"/>
        </w:rPr>
        <w:t>for both 1Rx and 2Rx RedCap UE</w:t>
      </w:r>
    </w:p>
    <w:p w14:paraId="0532016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cell re-selection</w:t>
      </w:r>
    </w:p>
    <w:p w14:paraId="316A623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cell re-selection with enhanced measurement</w:t>
      </w:r>
    </w:p>
    <w:p w14:paraId="48F510D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Time-based inter-frequency cell re-selection</w:t>
      </w:r>
    </w:p>
    <w:p w14:paraId="6C9B9C39">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Location-based inter-frequency cell re-selection</w:t>
      </w:r>
    </w:p>
    <w:p w14:paraId="113BD09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cell re-selection with UE fulfilling relax measurement criteria</w:t>
      </w:r>
    </w:p>
    <w:p w14:paraId="36B6FD1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cell re-selection from NR NTN to NR TN</w:t>
      </w:r>
    </w:p>
    <w:p w14:paraId="40700CE4">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Inter-RAT cell re-selection from NR NTN to E-UTRAN TN both 1Rx and 2Rx RedCap UE</w:t>
      </w:r>
    </w:p>
    <w:p w14:paraId="4460B22F">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Intra-frequency Handover for both 1Rx and 2Rx RedCap UE</w:t>
      </w:r>
    </w:p>
    <w:p w14:paraId="5AA70E39">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Intra-frequency Handover to known target cell</w:t>
      </w:r>
    </w:p>
    <w:p w14:paraId="2AF3800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Intra-frequency Handover to unknown target cell</w:t>
      </w:r>
    </w:p>
    <w:p w14:paraId="5A5BE15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Time-based Intra-frequency Conditional Handover</w:t>
      </w:r>
    </w:p>
    <w:p w14:paraId="6A2EBD01">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Location-based Intra-frequency Conditional Handover</w:t>
      </w:r>
    </w:p>
    <w:p w14:paraId="1273DD4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Time-based Intra-frequency conditional Handover without L3 measurement criteria</w:t>
      </w:r>
    </w:p>
    <w:p w14:paraId="40388AAA">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Location-based Intra-frequency conditional Handover without L3 measurement criteria</w:t>
      </w:r>
    </w:p>
    <w:p w14:paraId="407A24E3">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Inter-frequency Handover for both 1Rx and 2Rx RedCap UE</w:t>
      </w:r>
    </w:p>
    <w:p w14:paraId="7CEF4033">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Handover to known target cell</w:t>
      </w:r>
    </w:p>
    <w:p w14:paraId="7D887D8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Handover to unknown target cell</w:t>
      </w:r>
    </w:p>
    <w:p w14:paraId="058F3A3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Time-based Inter-frequency Conditional Handover</w:t>
      </w:r>
    </w:p>
    <w:p w14:paraId="0F24035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Location-based Inter-frequency Conditional Handover</w:t>
      </w:r>
    </w:p>
    <w:p w14:paraId="6C18E26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Time-based Inter-frequency conditional Handover without L3 measurement criteria</w:t>
      </w:r>
    </w:p>
    <w:p w14:paraId="502481E5">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Location-based Inter-frequency conditional Handover without L3 measurement criteria</w:t>
      </w:r>
    </w:p>
    <w:p w14:paraId="16C1FAA9">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ko-KR"/>
        </w:rPr>
        <w:t>Satellite switching with re-synchronization</w:t>
      </w:r>
      <w:r>
        <w:rPr>
          <w:rFonts w:hint="eastAsia"/>
          <w:sz w:val="20"/>
          <w:szCs w:val="20"/>
          <w:lang w:val="en-US" w:eastAsia="zh-CN"/>
        </w:rPr>
        <w:t xml:space="preserve"> for both 1Rx and 2Rx RedCap UE</w:t>
      </w:r>
    </w:p>
    <w:p w14:paraId="1EE6488A">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 xml:space="preserve">RACH-based Hard </w:t>
      </w:r>
      <w:r>
        <w:rPr>
          <w:rFonts w:hint="eastAsia"/>
          <w:sz w:val="20"/>
          <w:szCs w:val="20"/>
          <w:lang w:val="en-US" w:eastAsia="ko-KR"/>
        </w:rPr>
        <w:t>Satellite switchin</w:t>
      </w:r>
      <w:r>
        <w:rPr>
          <w:rFonts w:hint="eastAsia"/>
          <w:sz w:val="20"/>
          <w:szCs w:val="20"/>
          <w:lang w:val="en-US" w:eastAsia="zh-CN"/>
        </w:rPr>
        <w:t>g</w:t>
      </w:r>
    </w:p>
    <w:p w14:paraId="15A46E4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 xml:space="preserve">RACH-less based Hard </w:t>
      </w:r>
      <w:r>
        <w:rPr>
          <w:rFonts w:hint="eastAsia"/>
          <w:sz w:val="20"/>
          <w:szCs w:val="20"/>
          <w:lang w:val="en-US" w:eastAsia="ko-KR"/>
        </w:rPr>
        <w:t>Satellite switchin</w:t>
      </w:r>
      <w:r>
        <w:rPr>
          <w:rFonts w:hint="eastAsia"/>
          <w:sz w:val="20"/>
          <w:szCs w:val="20"/>
          <w:lang w:val="en-US" w:eastAsia="zh-CN"/>
        </w:rPr>
        <w:t>g</w:t>
      </w:r>
    </w:p>
    <w:p w14:paraId="02167D14">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 xml:space="preserve">RACH-based Soft </w:t>
      </w:r>
      <w:r>
        <w:rPr>
          <w:rFonts w:hint="eastAsia"/>
          <w:sz w:val="20"/>
          <w:szCs w:val="20"/>
          <w:lang w:val="en-US" w:eastAsia="ko-KR"/>
        </w:rPr>
        <w:t>Satellite switchin</w:t>
      </w:r>
      <w:r>
        <w:rPr>
          <w:rFonts w:hint="eastAsia"/>
          <w:sz w:val="20"/>
          <w:szCs w:val="20"/>
          <w:lang w:val="en-US" w:eastAsia="zh-CN"/>
        </w:rPr>
        <w:t>g</w:t>
      </w:r>
    </w:p>
    <w:p w14:paraId="27FFEB71">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 xml:space="preserve">RACH-less based Soft </w:t>
      </w:r>
      <w:r>
        <w:rPr>
          <w:rFonts w:hint="eastAsia"/>
          <w:sz w:val="20"/>
          <w:szCs w:val="20"/>
          <w:lang w:val="en-US" w:eastAsia="ko-KR"/>
        </w:rPr>
        <w:t>Satellite switchin</w:t>
      </w:r>
      <w:r>
        <w:rPr>
          <w:rFonts w:hint="eastAsia"/>
          <w:sz w:val="20"/>
          <w:szCs w:val="20"/>
          <w:lang w:val="en-US" w:eastAsia="zh-CN"/>
        </w:rPr>
        <w:t>g</w:t>
      </w:r>
    </w:p>
    <w:p w14:paraId="3031AA92">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ko-KR"/>
        </w:rPr>
        <w:t>Intra-frequency RRC Re-establishment</w:t>
      </w:r>
      <w:r>
        <w:rPr>
          <w:rFonts w:hint="eastAsia"/>
          <w:sz w:val="20"/>
          <w:szCs w:val="20"/>
          <w:lang w:val="en-US" w:eastAsia="zh-CN"/>
        </w:rPr>
        <w:t xml:space="preserve"> for both 1Rx and 2Rx RedCap UE</w:t>
      </w:r>
    </w:p>
    <w:p w14:paraId="2734135B">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ko-KR"/>
        </w:rPr>
        <w:t>Int</w:t>
      </w:r>
      <w:r>
        <w:rPr>
          <w:rFonts w:hint="eastAsia"/>
          <w:sz w:val="20"/>
          <w:szCs w:val="20"/>
          <w:lang w:val="en-US" w:eastAsia="zh-CN"/>
        </w:rPr>
        <w:t>er</w:t>
      </w:r>
      <w:r>
        <w:rPr>
          <w:rFonts w:hint="eastAsia"/>
          <w:sz w:val="20"/>
          <w:szCs w:val="20"/>
          <w:lang w:val="en-US" w:eastAsia="ko-KR"/>
        </w:rPr>
        <w:t>-frequency RRC Re-establishment</w:t>
      </w:r>
      <w:r>
        <w:rPr>
          <w:rFonts w:hint="eastAsia"/>
          <w:sz w:val="20"/>
          <w:szCs w:val="20"/>
          <w:lang w:val="en-US" w:eastAsia="zh-CN"/>
        </w:rPr>
        <w:t xml:space="preserve"> for both 1Rx and 2Rx RedCap UE</w:t>
      </w:r>
    </w:p>
    <w:p w14:paraId="3E3D540D">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ko-KR"/>
        </w:rPr>
        <w:t>4-step RA type contention based random access test</w:t>
      </w:r>
      <w:r>
        <w:rPr>
          <w:rFonts w:hint="eastAsia"/>
          <w:sz w:val="20"/>
          <w:szCs w:val="20"/>
          <w:lang w:val="en-US" w:eastAsia="zh-CN"/>
        </w:rPr>
        <w:t xml:space="preserve"> for both 1Rx and 2Rx RedCap UE</w:t>
      </w:r>
    </w:p>
    <w:p w14:paraId="722F1158">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ko-KR"/>
        </w:rPr>
        <w:t>4-step RA type n</w:t>
      </w:r>
      <w:r>
        <w:rPr>
          <w:rFonts w:hint="eastAsia"/>
          <w:sz w:val="20"/>
          <w:szCs w:val="20"/>
          <w:lang w:val="en-US" w:eastAsia="zh-CN"/>
        </w:rPr>
        <w:t>on-c</w:t>
      </w:r>
      <w:r>
        <w:rPr>
          <w:rFonts w:hint="eastAsia"/>
          <w:sz w:val="20"/>
          <w:szCs w:val="20"/>
          <w:lang w:val="en-US" w:eastAsia="ko-KR"/>
        </w:rPr>
        <w:t>ontention based random access test</w:t>
      </w:r>
      <w:r>
        <w:rPr>
          <w:rFonts w:hint="eastAsia"/>
          <w:sz w:val="20"/>
          <w:szCs w:val="20"/>
          <w:lang w:val="en-US" w:eastAsia="zh-CN"/>
        </w:rPr>
        <w:t xml:space="preserve"> for both 1Rx and 2Rx RedCap UE</w:t>
      </w:r>
    </w:p>
    <w:p w14:paraId="5DDBA06E">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ko-KR"/>
        </w:rPr>
        <w:t>Redirection from NR in FR1 to NR in FR1</w:t>
      </w:r>
      <w:r>
        <w:rPr>
          <w:rFonts w:hint="eastAsia"/>
          <w:sz w:val="20"/>
          <w:szCs w:val="20"/>
          <w:lang w:val="en-US" w:eastAsia="zh-CN"/>
        </w:rPr>
        <w:t xml:space="preserve"> for both 1Rx and 2Rx RedCap UE</w:t>
      </w:r>
    </w:p>
    <w:p w14:paraId="45844AB8">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ko-KR"/>
        </w:rPr>
        <w:t>UE transmit timing</w:t>
      </w:r>
      <w:r>
        <w:rPr>
          <w:rFonts w:hint="eastAsia"/>
          <w:sz w:val="20"/>
          <w:szCs w:val="20"/>
          <w:lang w:val="en-US" w:eastAsia="zh-CN"/>
        </w:rPr>
        <w:t xml:space="preserve"> for both 1Rx and 2Rx RedCap UE</w:t>
      </w:r>
    </w:p>
    <w:p w14:paraId="64403025">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ko-KR"/>
        </w:rPr>
      </w:pPr>
      <w:r>
        <w:rPr>
          <w:rFonts w:hint="eastAsia"/>
          <w:sz w:val="20"/>
          <w:szCs w:val="20"/>
          <w:lang w:val="en-US" w:eastAsia="ko-KR"/>
        </w:rPr>
        <w:t>FR1 timing advance adjustment accuracy</w:t>
      </w:r>
      <w:r>
        <w:rPr>
          <w:rFonts w:hint="eastAsia"/>
          <w:sz w:val="20"/>
          <w:szCs w:val="20"/>
          <w:lang w:val="en-US" w:eastAsia="zh-CN"/>
        </w:rPr>
        <w:t xml:space="preserve"> for both 1Rx and 2Rx RedCap UE</w:t>
      </w:r>
    </w:p>
    <w:p w14:paraId="01857BDD">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ko-KR"/>
        </w:rPr>
        <w:t>Radio Link Monitoring Out-of-sync Test</w:t>
      </w:r>
      <w:r>
        <w:rPr>
          <w:rFonts w:hint="eastAsia"/>
          <w:sz w:val="20"/>
          <w:szCs w:val="20"/>
          <w:lang w:val="en-US" w:eastAsia="zh-CN"/>
        </w:rPr>
        <w:t xml:space="preserve"> for both 1Rx and 2Rx RedCap UE</w:t>
      </w:r>
    </w:p>
    <w:p w14:paraId="6B7C31B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SSB-based RLM RS in non-DRX mode</w:t>
      </w:r>
    </w:p>
    <w:p w14:paraId="3F76719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SSB-based RLM RS in DRX mode</w:t>
      </w:r>
    </w:p>
    <w:p w14:paraId="2F653795">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CSI-RS-based RLM in non-DRX mode</w:t>
      </w:r>
    </w:p>
    <w:p w14:paraId="6FC4143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CSI-RS-based RLM in DRX mode</w:t>
      </w:r>
    </w:p>
    <w:p w14:paraId="3282B94F">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ko-KR"/>
        </w:rPr>
        <w:t xml:space="preserve">Radio Link Monitoring </w:t>
      </w:r>
      <w:r>
        <w:rPr>
          <w:rFonts w:hint="eastAsia" w:eastAsia="宋体"/>
          <w:sz w:val="20"/>
          <w:szCs w:val="20"/>
          <w:lang w:val="en-US" w:eastAsia="zh-CN"/>
        </w:rPr>
        <w:t>In</w:t>
      </w:r>
      <w:r>
        <w:rPr>
          <w:rFonts w:hint="eastAsia"/>
          <w:sz w:val="20"/>
          <w:szCs w:val="20"/>
          <w:lang w:val="en-US" w:eastAsia="ko-KR"/>
        </w:rPr>
        <w:t>-sync Test</w:t>
      </w:r>
      <w:r>
        <w:rPr>
          <w:rFonts w:hint="eastAsia"/>
          <w:sz w:val="20"/>
          <w:szCs w:val="20"/>
          <w:lang w:val="en-US" w:eastAsia="zh-CN"/>
        </w:rPr>
        <w:t xml:space="preserve"> for both 1Rx and 2Rx RedCap UE</w:t>
      </w:r>
    </w:p>
    <w:p w14:paraId="593F56F6">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SSB-based RLM RS in non-DRX mode</w:t>
      </w:r>
    </w:p>
    <w:p w14:paraId="755D6793">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SSB-based RLM RS in DRX mode</w:t>
      </w:r>
    </w:p>
    <w:p w14:paraId="2A77A8B6">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CSI-RS-based RLM in non-DRX mode</w:t>
      </w:r>
    </w:p>
    <w:p w14:paraId="1D5D4509">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CSI-RS-based RLM in DRX mode</w:t>
      </w:r>
    </w:p>
    <w:p w14:paraId="38413C48">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r>
        <w:rPr>
          <w:rFonts w:hint="eastAsia"/>
          <w:sz w:val="20"/>
          <w:szCs w:val="20"/>
          <w:lang w:val="en-US" w:eastAsia="ko-KR"/>
        </w:rPr>
        <w:t>Beam Failure Detection and Link Recovery Test</w:t>
      </w:r>
      <w:r>
        <w:rPr>
          <w:rFonts w:hint="eastAsia"/>
          <w:sz w:val="20"/>
          <w:szCs w:val="20"/>
          <w:lang w:val="en-US" w:eastAsia="zh-CN"/>
        </w:rPr>
        <w:t xml:space="preserve"> for both 1Rx and 2Rx RedCap UE</w:t>
      </w:r>
    </w:p>
    <w:p w14:paraId="56B109E5">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SSB-based BFD and LR in non-DRX mode</w:t>
      </w:r>
    </w:p>
    <w:p w14:paraId="0104982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SSB-based BFD and LR in DRX mode</w:t>
      </w:r>
    </w:p>
    <w:p w14:paraId="3D7E3C12">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CSI-RS-based BFD and LR in non-DRX mode</w:t>
      </w:r>
    </w:p>
    <w:p w14:paraId="374E1DE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CSI-RS-based BFD and LR in DRX mode</w:t>
      </w:r>
    </w:p>
    <w:p w14:paraId="36A2E887">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r>
        <w:rPr>
          <w:rFonts w:hint="eastAsia"/>
          <w:sz w:val="20"/>
          <w:szCs w:val="20"/>
          <w:lang w:val="en-US" w:eastAsia="ko-KR"/>
        </w:rPr>
        <w:t>Active BWP switch</w:t>
      </w:r>
      <w:r>
        <w:rPr>
          <w:rFonts w:hint="eastAsia"/>
          <w:sz w:val="20"/>
          <w:szCs w:val="20"/>
          <w:lang w:val="en-US" w:eastAsia="zh-CN"/>
        </w:rPr>
        <w:t xml:space="preserve"> for both 1Rx and 2Rx RedCap UE</w:t>
      </w:r>
    </w:p>
    <w:p w14:paraId="77E91F12">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ko-KR"/>
        </w:rPr>
        <w:t>DCI-based and Timer-based Active BWP Switch</w:t>
      </w:r>
    </w:p>
    <w:p w14:paraId="300E380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ko-KR"/>
        </w:rPr>
      </w:pPr>
      <w:r>
        <w:rPr>
          <w:rFonts w:hint="eastAsia"/>
          <w:sz w:val="20"/>
          <w:szCs w:val="20"/>
          <w:lang w:val="en-US" w:eastAsia="ko-KR"/>
        </w:rPr>
        <w:t>RRC-based Active BWP Switch</w:t>
      </w:r>
    </w:p>
    <w:p w14:paraId="2694D208">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bookmarkStart w:id="10" w:name="_Hlk54090261"/>
      <w:r>
        <w:rPr>
          <w:rFonts w:hint="eastAsia"/>
          <w:sz w:val="20"/>
          <w:szCs w:val="20"/>
          <w:lang w:val="en-US" w:eastAsia="ko-KR"/>
        </w:rPr>
        <w:t xml:space="preserve">UE specific CBW change </w:t>
      </w:r>
      <w:bookmarkEnd w:id="10"/>
      <w:r>
        <w:rPr>
          <w:rFonts w:hint="eastAsia"/>
          <w:sz w:val="20"/>
          <w:szCs w:val="20"/>
          <w:lang w:val="en-US" w:eastAsia="ko-KR"/>
        </w:rPr>
        <w:t>on PCell in FR1 in non-DRX</w:t>
      </w:r>
      <w:r>
        <w:rPr>
          <w:rFonts w:hint="eastAsia"/>
          <w:sz w:val="20"/>
          <w:szCs w:val="20"/>
          <w:lang w:val="en-US" w:eastAsia="zh-CN"/>
        </w:rPr>
        <w:t xml:space="preserve"> for both 1Rx and 2Rx RedCap UE</w:t>
      </w:r>
    </w:p>
    <w:p w14:paraId="04884E54">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r>
        <w:rPr>
          <w:rFonts w:hint="eastAsia"/>
          <w:sz w:val="20"/>
          <w:szCs w:val="20"/>
          <w:lang w:val="en-US" w:eastAsia="zh-CN"/>
        </w:rPr>
        <w:t>Intra-frequency measurement for both 1Rx and 2Rx RedCap UE</w:t>
      </w:r>
    </w:p>
    <w:p w14:paraId="0507E96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ko-KR"/>
        </w:rPr>
        <w:t>event triggered reporting tests without gap under non-DRX</w:t>
      </w:r>
    </w:p>
    <w:p w14:paraId="769C042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default"/>
          <w:sz w:val="20"/>
          <w:szCs w:val="20"/>
          <w:lang w:val="en-US" w:eastAsia="zh-CN"/>
        </w:rPr>
        <w:t>event triggered reporting tests without gap under DRX</w:t>
      </w:r>
    </w:p>
    <w:p w14:paraId="1BC10C40">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event triggered reporting tests without gap under non-DRX with SSB index reading</w:t>
      </w:r>
    </w:p>
    <w:p w14:paraId="285CECDE">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event triggered reporting tests with single measurement gap under non-DRX</w:t>
      </w:r>
    </w:p>
    <w:p w14:paraId="6E4B61F9">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ko-KR"/>
        </w:rPr>
      </w:pPr>
      <w:r>
        <w:rPr>
          <w:rFonts w:hint="eastAsia"/>
          <w:sz w:val="20"/>
          <w:szCs w:val="20"/>
          <w:lang w:val="en-US" w:eastAsia="ko-KR"/>
        </w:rPr>
        <w:t>event triggered reporting tests with FNO concurrent gaps under DRX for satellite access</w:t>
      </w:r>
    </w:p>
    <w:p w14:paraId="7F35732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ko-KR"/>
        </w:rPr>
      </w:pPr>
      <w:r>
        <w:rPr>
          <w:rFonts w:hint="eastAsia"/>
          <w:sz w:val="20"/>
          <w:szCs w:val="20"/>
          <w:lang w:val="en-US" w:eastAsia="ko-KR"/>
        </w:rPr>
        <w:t>event triggered reporting tests with PPO concurrent gaps under non-DRX with SSB index reading for satellite access</w:t>
      </w:r>
    </w:p>
    <w:p w14:paraId="70BFBB26">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r>
        <w:rPr>
          <w:rFonts w:hint="eastAsia"/>
          <w:sz w:val="20"/>
          <w:szCs w:val="20"/>
          <w:lang w:val="en-US" w:eastAsia="zh-CN"/>
        </w:rPr>
        <w:t>Inter-frequency measurement for both 1Rx and 2Rx RedCap UE</w:t>
      </w:r>
    </w:p>
    <w:p w14:paraId="0872518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event triggered reporting tests for FR1 without SSB time index detection </w:t>
      </w:r>
      <w:r>
        <w:rPr>
          <w:rFonts w:hint="eastAsia"/>
          <w:sz w:val="20"/>
          <w:szCs w:val="20"/>
          <w:lang w:val="en-US" w:eastAsia="zh-TW"/>
        </w:rPr>
        <w:t>with single gap</w:t>
      </w:r>
      <w:r>
        <w:rPr>
          <w:rFonts w:hint="eastAsia"/>
          <w:sz w:val="20"/>
          <w:szCs w:val="20"/>
          <w:lang w:val="en-US" w:eastAsia="zh-CN"/>
        </w:rPr>
        <w:t xml:space="preserve"> under non-</w:t>
      </w:r>
      <w:r>
        <w:rPr>
          <w:rFonts w:hint="eastAsia"/>
          <w:sz w:val="20"/>
          <w:szCs w:val="20"/>
          <w:lang w:val="en-US" w:eastAsia="ko-KR"/>
        </w:rPr>
        <w:t xml:space="preserve">DRX </w:t>
      </w:r>
    </w:p>
    <w:p w14:paraId="2ECEEF28">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event triggered reporting tests for FR1 without SSB time index detection </w:t>
      </w:r>
      <w:r>
        <w:rPr>
          <w:rFonts w:hint="eastAsia"/>
          <w:sz w:val="20"/>
          <w:szCs w:val="20"/>
          <w:lang w:val="en-US" w:eastAsia="zh-TW"/>
        </w:rPr>
        <w:t>with single gap</w:t>
      </w:r>
      <w:r>
        <w:rPr>
          <w:rFonts w:hint="eastAsia"/>
          <w:sz w:val="20"/>
          <w:szCs w:val="20"/>
          <w:lang w:val="en-US" w:eastAsia="zh-CN"/>
        </w:rPr>
        <w:t xml:space="preserve"> under </w:t>
      </w:r>
      <w:r>
        <w:rPr>
          <w:rFonts w:hint="eastAsia"/>
          <w:sz w:val="20"/>
          <w:szCs w:val="20"/>
          <w:lang w:val="en-US" w:eastAsia="ko-KR"/>
        </w:rPr>
        <w:t xml:space="preserve">DRX </w:t>
      </w:r>
    </w:p>
    <w:p w14:paraId="03E7A78A">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event triggered reporting tests for FR1 with SSB time index detection </w:t>
      </w:r>
      <w:r>
        <w:rPr>
          <w:rFonts w:hint="eastAsia"/>
          <w:sz w:val="20"/>
          <w:szCs w:val="20"/>
          <w:lang w:val="en-US" w:eastAsia="zh-TW"/>
        </w:rPr>
        <w:t>with single gap</w:t>
      </w:r>
      <w:r>
        <w:rPr>
          <w:rFonts w:hint="eastAsia"/>
          <w:sz w:val="20"/>
          <w:szCs w:val="20"/>
          <w:lang w:val="en-US" w:eastAsia="zh-CN"/>
        </w:rPr>
        <w:t xml:space="preserve"> under non-</w:t>
      </w:r>
      <w:r>
        <w:rPr>
          <w:rFonts w:hint="eastAsia"/>
          <w:sz w:val="20"/>
          <w:szCs w:val="20"/>
          <w:lang w:val="en-US" w:eastAsia="ko-KR"/>
        </w:rPr>
        <w:t xml:space="preserve">DRX </w:t>
      </w:r>
    </w:p>
    <w:p w14:paraId="786082E0">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event triggered reporting tests for FR1 without SSB time index detection </w:t>
      </w:r>
      <w:r>
        <w:rPr>
          <w:rFonts w:hint="eastAsia"/>
          <w:sz w:val="20"/>
          <w:szCs w:val="20"/>
          <w:lang w:val="en-US" w:eastAsia="zh-TW"/>
        </w:rPr>
        <w:t xml:space="preserve">with </w:t>
      </w:r>
      <w:r>
        <w:rPr>
          <w:rFonts w:hint="eastAsia"/>
          <w:sz w:val="20"/>
          <w:szCs w:val="20"/>
          <w:lang w:val="en-US" w:eastAsia="ko-KR"/>
        </w:rPr>
        <w:t>FNO concurrent gaps</w:t>
      </w:r>
      <w:r>
        <w:rPr>
          <w:rFonts w:hint="eastAsia"/>
          <w:sz w:val="20"/>
          <w:szCs w:val="20"/>
          <w:lang w:val="en-US" w:eastAsia="zh-TW"/>
        </w:rPr>
        <w:t xml:space="preserve"> </w:t>
      </w:r>
      <w:r>
        <w:rPr>
          <w:rFonts w:hint="eastAsia"/>
          <w:sz w:val="20"/>
          <w:szCs w:val="20"/>
          <w:lang w:val="en-US" w:eastAsia="ko-KR"/>
        </w:rPr>
        <w:t>under non-DRX</w:t>
      </w:r>
    </w:p>
    <w:p w14:paraId="3C2D12E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event triggered reporting tests for FR1 without SSB time index detection with PPO concurrent gaps under non-DRX</w:t>
      </w:r>
    </w:p>
    <w:p w14:paraId="5CDAC5F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Event triggered reporting test without gap under non-DRX</w:t>
      </w:r>
    </w:p>
    <w:p w14:paraId="53688DD5">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Event triggered reporting test without gap under DRX</w:t>
      </w:r>
    </w:p>
    <w:p w14:paraId="74DBAAD1">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r>
        <w:rPr>
          <w:rFonts w:hint="eastAsia"/>
          <w:sz w:val="20"/>
          <w:szCs w:val="20"/>
          <w:lang w:val="en-US" w:eastAsia="zh-CN"/>
        </w:rPr>
        <w:t>L1-RSRP measurement for beam reporting for both 1Rx and 2Rx RedCap UE</w:t>
      </w:r>
    </w:p>
    <w:p w14:paraId="7431160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SSB based L1-RSRP measurement for satellite access </w:t>
      </w:r>
      <w:r>
        <w:rPr>
          <w:rFonts w:hint="eastAsia"/>
          <w:sz w:val="20"/>
          <w:szCs w:val="20"/>
          <w:lang w:val="en-US" w:eastAsia="zh-CN"/>
        </w:rPr>
        <w:t>under non-</w:t>
      </w:r>
      <w:r>
        <w:rPr>
          <w:rFonts w:hint="eastAsia"/>
          <w:sz w:val="20"/>
          <w:szCs w:val="20"/>
          <w:lang w:val="en-US" w:eastAsia="ko-KR"/>
        </w:rPr>
        <w:t>DRX</w:t>
      </w:r>
    </w:p>
    <w:p w14:paraId="06D8DE31">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ko-KR"/>
        </w:rPr>
      </w:pPr>
      <w:r>
        <w:rPr>
          <w:rFonts w:hint="eastAsia"/>
          <w:sz w:val="20"/>
          <w:szCs w:val="20"/>
          <w:lang w:val="en-US" w:eastAsia="ko-KR"/>
        </w:rPr>
        <w:t xml:space="preserve">SSB based L1-RSRP measurement for satellite access </w:t>
      </w:r>
      <w:r>
        <w:rPr>
          <w:rFonts w:hint="eastAsia"/>
          <w:sz w:val="20"/>
          <w:szCs w:val="20"/>
          <w:lang w:val="en-US" w:eastAsia="zh-CN"/>
        </w:rPr>
        <w:t xml:space="preserve">under </w:t>
      </w:r>
      <w:r>
        <w:rPr>
          <w:rFonts w:hint="eastAsia"/>
          <w:sz w:val="20"/>
          <w:szCs w:val="20"/>
          <w:lang w:val="en-US" w:eastAsia="ko-KR"/>
        </w:rPr>
        <w:t>DRX</w:t>
      </w:r>
    </w:p>
    <w:p w14:paraId="082C1241">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CSI-RS based L1-RSRP measurement for satellite access </w:t>
      </w:r>
      <w:r>
        <w:rPr>
          <w:rFonts w:hint="eastAsia"/>
          <w:sz w:val="20"/>
          <w:szCs w:val="20"/>
          <w:lang w:val="en-US" w:eastAsia="zh-CN"/>
        </w:rPr>
        <w:t>under non-</w:t>
      </w:r>
      <w:r>
        <w:rPr>
          <w:rFonts w:hint="eastAsia"/>
          <w:sz w:val="20"/>
          <w:szCs w:val="20"/>
          <w:lang w:val="en-US" w:eastAsia="ko-KR"/>
        </w:rPr>
        <w:t>DRX</w:t>
      </w:r>
    </w:p>
    <w:p w14:paraId="151C3E3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ko-KR"/>
        </w:rPr>
        <w:t xml:space="preserve">CSI-RS based L1-RSRP measurement for satellite access </w:t>
      </w:r>
      <w:r>
        <w:rPr>
          <w:rFonts w:hint="eastAsia"/>
          <w:sz w:val="20"/>
          <w:szCs w:val="20"/>
          <w:lang w:val="en-US" w:eastAsia="zh-CN"/>
        </w:rPr>
        <w:t xml:space="preserve">under </w:t>
      </w:r>
      <w:r>
        <w:rPr>
          <w:rFonts w:hint="eastAsia"/>
          <w:sz w:val="20"/>
          <w:szCs w:val="20"/>
          <w:lang w:val="en-US" w:eastAsia="ko-KR"/>
        </w:rPr>
        <w:t>DRX</w:t>
      </w:r>
    </w:p>
    <w:p w14:paraId="67207E50">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sz w:val="20"/>
          <w:szCs w:val="20"/>
          <w:lang w:val="en-US" w:eastAsia="zh-CN"/>
        </w:rPr>
      </w:pPr>
      <w:r>
        <w:rPr>
          <w:rFonts w:hint="eastAsia"/>
          <w:sz w:val="20"/>
          <w:szCs w:val="20"/>
          <w:lang w:val="en-US" w:eastAsia="zh-CN"/>
        </w:rPr>
        <w:t>SS-RSRP/SS-RSRQ/SS-SINR Measurement Performance for both 1Rx and 2Rx RedCap UE</w:t>
      </w:r>
    </w:p>
    <w:p w14:paraId="3899DD5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intra-frequency case measurement accuracy with FR1 serving cell and FR1 target cell</w:t>
      </w:r>
    </w:p>
    <w:p w14:paraId="20F29CD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zh-CN"/>
        </w:rPr>
        <w:t>inter-frequency case measurement accuracy with FR1 serving cell and FR1 target cell</w:t>
      </w:r>
    </w:p>
    <w:p w14:paraId="56D3A8BE">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default"/>
          <w:sz w:val="20"/>
          <w:szCs w:val="20"/>
          <w:lang w:val="en-US" w:eastAsia="zh-CN"/>
        </w:rPr>
      </w:pPr>
      <w:r>
        <w:rPr>
          <w:rFonts w:hint="eastAsia"/>
          <w:sz w:val="20"/>
          <w:szCs w:val="20"/>
          <w:lang w:val="en-US" w:eastAsia="zh-CN"/>
        </w:rPr>
        <w:t>L1-RSRP measurement Performance for beam reporting for both 1Rx and 2Rx RedCap UE</w:t>
      </w:r>
    </w:p>
    <w:p w14:paraId="47777D9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eastAsia"/>
          <w:sz w:val="20"/>
          <w:szCs w:val="20"/>
          <w:lang w:val="en-US" w:eastAsia="zh-CN"/>
        </w:rPr>
        <w:t>SSB based L1-RSRP measurement</w:t>
      </w:r>
    </w:p>
    <w:p w14:paraId="441BB782">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420" w:leftChars="0" w:hanging="420" w:firstLineChars="0"/>
        <w:jc w:val="both"/>
        <w:textAlignment w:val="auto"/>
        <w:rPr>
          <w:rFonts w:hint="eastAsia"/>
          <w:sz w:val="20"/>
          <w:szCs w:val="20"/>
          <w:lang w:val="en-US" w:eastAsia="zh-CN"/>
        </w:rPr>
      </w:pPr>
      <w:r>
        <w:rPr>
          <w:rFonts w:hint="eastAsia"/>
          <w:sz w:val="20"/>
          <w:szCs w:val="20"/>
          <w:lang w:val="en-US" w:eastAsia="zh-CN"/>
        </w:rPr>
        <w:t>CSI-RS based L1-RSRP measurement on resource set with repetition off</w:t>
      </w:r>
    </w:p>
    <w:p w14:paraId="7250078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3: Define the test cases for RedCap UE over NTN as listed above.</w:t>
      </w:r>
    </w:p>
    <w:p w14:paraId="0D558948">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As for the test configurations, we think most of the NTN test setups can be taken as the reference, and the </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refer to</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 xml:space="preserve"> method can be used in order to avoid huge duplicated contents in the spec.</w:t>
      </w:r>
    </w:p>
    <w:p w14:paraId="4C574900">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b/>
          <w:i/>
          <w:iCs/>
          <w:color w:val="auto"/>
          <w:sz w:val="20"/>
          <w:szCs w:val="20"/>
          <w:u w:val="single"/>
          <w:lang w:val="en-US" w:eastAsia="zh-CN"/>
        </w:rPr>
      </w:pPr>
      <w:r>
        <w:rPr>
          <w:rFonts w:hint="eastAsia"/>
          <w:b/>
          <w:i/>
          <w:iCs/>
          <w:sz w:val="20"/>
          <w:szCs w:val="20"/>
          <w:lang w:val="en-US" w:eastAsia="zh-CN"/>
        </w:rPr>
        <w:t xml:space="preserve">Proposal 4: Take the NTN test setups as the reference, and use the </w:t>
      </w:r>
      <w:r>
        <w:rPr>
          <w:rFonts w:hint="default"/>
          <w:b/>
          <w:i/>
          <w:iCs/>
          <w:sz w:val="20"/>
          <w:szCs w:val="20"/>
          <w:lang w:val="en-US" w:eastAsia="zh-CN"/>
        </w:rPr>
        <w:t>‘</w:t>
      </w:r>
      <w:r>
        <w:rPr>
          <w:rFonts w:hint="eastAsia"/>
          <w:b/>
          <w:i/>
          <w:iCs/>
          <w:sz w:val="20"/>
          <w:szCs w:val="20"/>
          <w:lang w:val="en-US" w:eastAsia="zh-CN"/>
        </w:rPr>
        <w:t>refer to</w:t>
      </w:r>
      <w:r>
        <w:rPr>
          <w:rFonts w:hint="default"/>
          <w:b/>
          <w:i/>
          <w:iCs/>
          <w:sz w:val="20"/>
          <w:szCs w:val="20"/>
          <w:lang w:val="en-US" w:eastAsia="zh-CN"/>
        </w:rPr>
        <w:t>’</w:t>
      </w:r>
      <w:r>
        <w:rPr>
          <w:rFonts w:hint="eastAsia"/>
          <w:b/>
          <w:i/>
          <w:iCs/>
          <w:sz w:val="20"/>
          <w:szCs w:val="20"/>
          <w:lang w:val="en-US" w:eastAsia="zh-CN"/>
        </w:rPr>
        <w:t xml:space="preserve"> method when drafting the spec to avoid duplicated contents.</w:t>
      </w:r>
    </w:p>
    <w:p w14:paraId="70406C48">
      <w:pPr>
        <w:spacing w:before="60"/>
        <w:jc w:val="both"/>
        <w:rPr>
          <w:rFonts w:hint="default" w:eastAsia="宋体"/>
          <w:sz w:val="20"/>
          <w:szCs w:val="20"/>
          <w:lang w:val="en-US" w:eastAsia="zh-CN"/>
        </w:rPr>
      </w:pPr>
    </w:p>
    <w:bookmarkEnd w:id="6"/>
    <w:bookmarkEnd w:id="9"/>
    <w:p w14:paraId="4226773A">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2552EADC">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 and </w:t>
      </w:r>
      <w:r>
        <w:rPr>
          <w:sz w:val="20"/>
          <w:szCs w:val="20"/>
        </w:rPr>
        <w:t xml:space="preserve">proposals are concluded. </w:t>
      </w:r>
      <w:bookmarkEnd w:id="7"/>
      <w:bookmarkEnd w:id="8"/>
    </w:p>
    <w:p w14:paraId="533815DE">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1</w:t>
      </w:r>
      <w:r>
        <w:rPr>
          <w:rFonts w:hint="eastAsia"/>
          <w:b/>
          <w:i/>
          <w:iCs/>
          <w:sz w:val="20"/>
          <w:szCs w:val="20"/>
        </w:rPr>
        <w:t xml:space="preserve">: </w:t>
      </w:r>
      <w:r>
        <w:rPr>
          <w:rFonts w:hint="eastAsia"/>
          <w:b/>
          <w:i/>
          <w:iCs/>
          <w:sz w:val="20"/>
          <w:szCs w:val="20"/>
          <w:lang w:val="en-US" w:eastAsia="zh-CN"/>
        </w:rPr>
        <w:t>For 2Rx RedCap UE, reuse the measurement accuracy requirement of NTN.</w:t>
      </w:r>
    </w:p>
    <w:p w14:paraId="26E474A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i/>
          <w:iCs/>
          <w:sz w:val="20"/>
          <w:szCs w:val="20"/>
          <w:lang w:val="en-US" w:eastAsia="zh-CN"/>
        </w:rPr>
      </w:pPr>
      <w:r>
        <w:rPr>
          <w:rFonts w:hint="eastAsia"/>
          <w:b/>
          <w:i/>
          <w:iCs/>
          <w:sz w:val="20"/>
          <w:szCs w:val="20"/>
          <w:lang w:val="en-US" w:eastAsia="zh-CN"/>
        </w:rPr>
        <w:t>Proposal 2: For 1Rx RedCap UE, define new measurement accuracy requirement on NTN operating bands with reusing the RSRP accuracy and side conditions from legacy 1Rx RedCap UE.</w:t>
      </w:r>
    </w:p>
    <w:p w14:paraId="575EBF7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3: Define the test cases for RedCap UE over NTN as listed above.</w:t>
      </w:r>
    </w:p>
    <w:p w14:paraId="36095E98">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b/>
          <w:i/>
          <w:iCs/>
          <w:color w:val="auto"/>
          <w:sz w:val="20"/>
          <w:szCs w:val="20"/>
          <w:u w:val="single"/>
          <w:lang w:val="en-US" w:eastAsia="zh-CN"/>
        </w:rPr>
      </w:pPr>
      <w:r>
        <w:rPr>
          <w:rFonts w:hint="eastAsia"/>
          <w:b/>
          <w:i/>
          <w:iCs/>
          <w:sz w:val="20"/>
          <w:szCs w:val="20"/>
          <w:lang w:val="en-US" w:eastAsia="zh-CN"/>
        </w:rPr>
        <w:t xml:space="preserve">Proposal 4: Take the NTN test setups as the reference, and use the </w:t>
      </w:r>
      <w:r>
        <w:rPr>
          <w:rFonts w:hint="default"/>
          <w:b/>
          <w:i/>
          <w:iCs/>
          <w:sz w:val="20"/>
          <w:szCs w:val="20"/>
          <w:lang w:val="en-US" w:eastAsia="zh-CN"/>
        </w:rPr>
        <w:t>‘</w:t>
      </w:r>
      <w:r>
        <w:rPr>
          <w:rFonts w:hint="eastAsia"/>
          <w:b/>
          <w:i/>
          <w:iCs/>
          <w:sz w:val="20"/>
          <w:szCs w:val="20"/>
          <w:lang w:val="en-US" w:eastAsia="zh-CN"/>
        </w:rPr>
        <w:t>refer to</w:t>
      </w:r>
      <w:r>
        <w:rPr>
          <w:rFonts w:hint="default"/>
          <w:b/>
          <w:i/>
          <w:iCs/>
          <w:sz w:val="20"/>
          <w:szCs w:val="20"/>
          <w:lang w:val="en-US" w:eastAsia="zh-CN"/>
        </w:rPr>
        <w:t>’</w:t>
      </w:r>
      <w:r>
        <w:rPr>
          <w:rFonts w:hint="eastAsia"/>
          <w:b/>
          <w:i/>
          <w:iCs/>
          <w:sz w:val="20"/>
          <w:szCs w:val="20"/>
          <w:lang w:val="en-US" w:eastAsia="zh-CN"/>
        </w:rPr>
        <w:t xml:space="preserve"> method when drafting the spec to avoid duplicated contents.</w:t>
      </w:r>
    </w:p>
    <w:p w14:paraId="14B45C2E">
      <w:pPr>
        <w:spacing w:before="60"/>
        <w:rPr>
          <w:sz w:val="20"/>
          <w:szCs w:val="20"/>
        </w:rPr>
      </w:pPr>
    </w:p>
    <w:p w14:paraId="5B9FF6AA"/>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ADF045"/>
    <w:multiLevelType w:val="singleLevel"/>
    <w:tmpl w:val="BAADF045"/>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9D4A76"/>
    <w:rsid w:val="00D11DCE"/>
    <w:rsid w:val="00E56A55"/>
    <w:rsid w:val="01D64E9E"/>
    <w:rsid w:val="03D86526"/>
    <w:rsid w:val="05524AD2"/>
    <w:rsid w:val="06F75AD2"/>
    <w:rsid w:val="07AC566B"/>
    <w:rsid w:val="07DD0BC7"/>
    <w:rsid w:val="09517472"/>
    <w:rsid w:val="09FB09F5"/>
    <w:rsid w:val="0F7A5B7B"/>
    <w:rsid w:val="0FDD3944"/>
    <w:rsid w:val="10464BC0"/>
    <w:rsid w:val="1173721C"/>
    <w:rsid w:val="12046C67"/>
    <w:rsid w:val="17126F70"/>
    <w:rsid w:val="17747819"/>
    <w:rsid w:val="18BE4A43"/>
    <w:rsid w:val="18D9421B"/>
    <w:rsid w:val="19F05275"/>
    <w:rsid w:val="1B1501FB"/>
    <w:rsid w:val="1CE847F5"/>
    <w:rsid w:val="1D8706B3"/>
    <w:rsid w:val="1FCC1334"/>
    <w:rsid w:val="208F304C"/>
    <w:rsid w:val="218E2946"/>
    <w:rsid w:val="23226087"/>
    <w:rsid w:val="24452905"/>
    <w:rsid w:val="25466E4D"/>
    <w:rsid w:val="296A26AA"/>
    <w:rsid w:val="2A7F138A"/>
    <w:rsid w:val="2CE10DFC"/>
    <w:rsid w:val="2E18387E"/>
    <w:rsid w:val="335825D6"/>
    <w:rsid w:val="3874599A"/>
    <w:rsid w:val="3ACE28A7"/>
    <w:rsid w:val="3C986043"/>
    <w:rsid w:val="3D9F061F"/>
    <w:rsid w:val="3E373ADA"/>
    <w:rsid w:val="3EBD45F1"/>
    <w:rsid w:val="42A52A53"/>
    <w:rsid w:val="44794C71"/>
    <w:rsid w:val="46066F60"/>
    <w:rsid w:val="46850C1B"/>
    <w:rsid w:val="46B10109"/>
    <w:rsid w:val="47506F6D"/>
    <w:rsid w:val="47B27DFC"/>
    <w:rsid w:val="47E53D33"/>
    <w:rsid w:val="4AFB201B"/>
    <w:rsid w:val="4C4B787D"/>
    <w:rsid w:val="4DA32C0D"/>
    <w:rsid w:val="4EEC4C43"/>
    <w:rsid w:val="505C3AE8"/>
    <w:rsid w:val="505C7A00"/>
    <w:rsid w:val="51D83011"/>
    <w:rsid w:val="52A50065"/>
    <w:rsid w:val="54260228"/>
    <w:rsid w:val="57FB2B46"/>
    <w:rsid w:val="59EF76A3"/>
    <w:rsid w:val="5BCC3BCD"/>
    <w:rsid w:val="5BFF75C4"/>
    <w:rsid w:val="5EDF6D5C"/>
    <w:rsid w:val="5FC561E5"/>
    <w:rsid w:val="65FB1716"/>
    <w:rsid w:val="663A164A"/>
    <w:rsid w:val="67525987"/>
    <w:rsid w:val="6B934BAF"/>
    <w:rsid w:val="6D7F3116"/>
    <w:rsid w:val="6F6A106F"/>
    <w:rsid w:val="6FC3127F"/>
    <w:rsid w:val="6FE52AD0"/>
    <w:rsid w:val="71B927E7"/>
    <w:rsid w:val="71EF4499"/>
    <w:rsid w:val="71F52B18"/>
    <w:rsid w:val="72BE025B"/>
    <w:rsid w:val="76A742C8"/>
    <w:rsid w:val="770D5AF8"/>
    <w:rsid w:val="778957B1"/>
    <w:rsid w:val="79CE24BD"/>
    <w:rsid w:val="7B1C10AB"/>
    <w:rsid w:val="7BB46454"/>
    <w:rsid w:val="7C5D6F97"/>
    <w:rsid w:val="7CA61337"/>
    <w:rsid w:val="7CD32EB0"/>
    <w:rsid w:val="7D813F06"/>
    <w:rsid w:val="7E85070A"/>
    <w:rsid w:val="7F01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9"/>
    <w:qFormat/>
    <w:uiPriority w:val="0"/>
  </w:style>
  <w:style w:type="paragraph" w:styleId="7">
    <w:name w:val="List"/>
    <w:basedOn w:val="1"/>
    <w:semiHidden/>
    <w:unhideWhenUsed/>
    <w:qFormat/>
    <w:uiPriority w:val="99"/>
    <w:pPr>
      <w:ind w:left="200" w:hanging="200" w:hangingChars="200"/>
      <w:contextualSpacing/>
    </w:pPr>
  </w:style>
  <w:style w:type="paragraph" w:styleId="8">
    <w:name w:val="annotation subject"/>
    <w:basedOn w:val="6"/>
    <w:next w:val="6"/>
    <w:link w:val="20"/>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styleId="13">
    <w:name w:val="List Paragraph"/>
    <w:basedOn w:val="1"/>
    <w:qFormat/>
    <w:uiPriority w:val="34"/>
    <w:pPr>
      <w:ind w:firstLine="420" w:firstLineChars="200"/>
    </w:pPr>
    <w:rPr>
      <w:rFonts w:eastAsia="Times New Roman" w:cs="宋体"/>
    </w:rPr>
  </w:style>
  <w:style w:type="paragraph" w:customStyle="1" w:styleId="14">
    <w:name w:val="B1"/>
    <w:basedOn w:val="7"/>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pPr>
    <w:rPr>
      <w:rFonts w:ascii="Arial" w:hAnsi="Arial"/>
      <w:sz w:val="18"/>
    </w:rPr>
  </w:style>
  <w:style w:type="paragraph" w:customStyle="1" w:styleId="18">
    <w:name w:val="TAN"/>
    <w:basedOn w:val="17"/>
    <w:qFormat/>
    <w:uiPriority w:val="0"/>
    <w:pPr>
      <w:ind w:left="851" w:hanging="851"/>
    </w:pPr>
  </w:style>
  <w:style w:type="character" w:customStyle="1" w:styleId="19">
    <w:name w:val="批注文字 字符"/>
    <w:basedOn w:val="11"/>
    <w:link w:val="6"/>
    <w:qFormat/>
    <w:uiPriority w:val="0"/>
    <w:rPr>
      <w:rFonts w:ascii="Times New Roman" w:hAnsi="Times New Roman" w:cs="Times New Roman"/>
      <w:sz w:val="24"/>
      <w:szCs w:val="24"/>
    </w:rPr>
  </w:style>
  <w:style w:type="character" w:customStyle="1" w:styleId="20">
    <w:name w:val="批注主题 字符"/>
    <w:basedOn w:val="19"/>
    <w:link w:val="8"/>
    <w:qFormat/>
    <w:uiPriority w:val="0"/>
    <w:rPr>
      <w:rFonts w:ascii="Times New Roman" w:hAnsi="Times New Roman" w:cs="Times New Roman"/>
      <w:b/>
      <w:bCs/>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1855</Words>
  <Characters>10574</Characters>
  <Lines>88</Lines>
  <Paragraphs>24</Paragraphs>
  <TotalTime>5</TotalTime>
  <ScaleCrop>false</ScaleCrop>
  <LinksUpToDate>false</LinksUpToDate>
  <CharactersWithSpaces>12405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cp:lastModifiedBy>
  <dcterms:modified xsi:type="dcterms:W3CDTF">2025-05-09T07:32:19Z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AD64AC204EA64369A1FB002ABAEC9A42</vt:lpwstr>
  </property>
</Properties>
</file>